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0" w:lineRule="auto"/>
        <w:jc w:val="left"/>
        <w:rPr>
          <w:b w:val="1"/>
          <w:smallCaps w:val="1"/>
        </w:rPr>
      </w:pPr>
      <w:bookmarkStart w:colFirst="0" w:colLast="0" w:name="_heading=h.4d34og8" w:id="1"/>
      <w:bookmarkEnd w:id="1"/>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30j0zll" w:id="2"/>
      <w:bookmarkEnd w:id="2"/>
      <w:r w:rsidDel="00000000" w:rsidR="00000000" w:rsidRPr="00000000">
        <w:rPr>
          <w:b w:val="1"/>
          <w:smallCaps w:val="1"/>
          <w:color w:val="000000"/>
          <w:rtl w:val="0"/>
        </w:rPr>
        <w:t xml:space="preserve">CALL-OFF SCHEDULE 6 </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TUPE SURCHARGE</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tbl>
      <w:tblPr>
        <w:tblStyle w:val="Table1"/>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0"/>
        <w:gridCol w:w="4560"/>
        <w:tblGridChange w:id="0">
          <w:tblGrid>
            <w:gridCol w:w="4470"/>
            <w:gridCol w:w="4560"/>
          </w:tblGrid>
        </w:tblGridChange>
      </w:tblGrid>
      <w:tr>
        <w:trPr>
          <w:cantSplit w:val="0"/>
          <w:tblHeader w:val="0"/>
        </w:trPr>
        <w:tc>
          <w:tcPr>
            <w:gridSpan w:val="2"/>
          </w:tcPr>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IN THIS SCHEDULE, THE FOLLOWING WORDS SHALL HAVE THE FOLLOWING MEANINGS AND THEY SHALL SUPPLEMENT (I) JOINT SCHEDULE 1 (DEFINITIONS) AND (II) CALL –OFF SCHEDULE 2 (STAFF TRANSFER):</w:t>
            </w:r>
          </w:p>
        </w:tc>
      </w:tr>
      <w:tr>
        <w:trPr>
          <w:cantSplit w:val="0"/>
          <w:tblHeader w:val="0"/>
        </w:trPr>
        <w:tc>
          <w:tcPr/>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DEFINITION</w:t>
            </w:r>
          </w:p>
        </w:tc>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MEANING</w:t>
            </w:r>
          </w:p>
        </w:tc>
      </w:tr>
      <w:tr>
        <w:trPr>
          <w:cantSplit w:val="0"/>
          <w:tblHeader w:val="0"/>
        </w:trPr>
        <w:tc>
          <w:tcP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“Annual Pension Cost”</w:t>
            </w:r>
          </w:p>
        </w:tc>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“Direct Award TUPE Risk Premium”</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bookmarkStart w:colFirst="0" w:colLast="0" w:name="_heading=h.1fob9te" w:id="3"/>
            <w:bookmarkEnd w:id="3"/>
            <w:r w:rsidDel="00000000" w:rsidR="00000000" w:rsidRPr="00000000">
              <w:rPr>
                <w:color w:val="000000"/>
                <w:sz w:val="20"/>
                <w:szCs w:val="2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“Cost of Change”</w:t>
            </w:r>
          </w:p>
        </w:tc>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means any reasonable costs that will be incurred in managing the transition of a Transferring Former Supplier Employee, and will not be required to fulfil a role as part of the new contract, subject to the Supplier taking all reasonable steps to mitigate such costs.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w:t>
            </w:r>
          </w:p>
        </w:tc>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standard employer pension contributions paid in accordance with the relevant pension scheme rules and used in the calculation of the TUPE Risk Premium less any costs recoverable under paragraph 6 of Annex D3: LGPS of Part D Pensions of Schedule 2 Staff Transfer;</w:t>
            </w:r>
          </w:p>
        </w:tc>
      </w:tr>
      <w:tr>
        <w:trPr>
          <w:cantSplit w:val="0"/>
          <w:tblHeader w:val="0"/>
        </w:trPr>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 Cap"</w:t>
            </w:r>
          </w:p>
        </w:tc>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“Fixed Fee TUPE Risk Premium”</w:t>
            </w:r>
          </w:p>
        </w:tc>
        <w:tc>
          <w:tcP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on an annual basis based on the difference between:</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3 of Call Off Schedule 6 (TUPE Surcharge);</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"Further Competition TUPE Risk Premium"</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w:t>
            </w:r>
            <w:r w:rsidDel="00000000" w:rsidR="00000000" w:rsidRPr="00000000">
              <w:rPr>
                <w:rtl w:val="0"/>
              </w:rPr>
              <w:t xml:space="preserve">     </w:t>
            </w:r>
            <w:r w:rsidDel="00000000" w:rsidR="00000000" w:rsidRPr="00000000">
              <w:rPr>
                <w:color w:val="000000"/>
                <w:sz w:val="20"/>
                <w:szCs w:val="20"/>
                <w:rtl w:val="0"/>
              </w:rPr>
              <w:t xml:space="preserve">on an annual basis based on the difference between: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w:t>
            </w:r>
            <w:r w:rsidDel="00000000" w:rsidR="00000000" w:rsidRPr="00000000">
              <w:rPr>
                <w:rtl w:val="0"/>
              </w:rPr>
              <w:t xml:space="preserve">     </w:t>
            </w:r>
            <w:r w:rsidDel="00000000" w:rsidR="00000000" w:rsidRPr="00000000">
              <w:rPr>
                <w:color w:val="000000"/>
                <w:sz w:val="20"/>
                <w:szCs w:val="20"/>
                <w:rtl w:val="0"/>
              </w:rPr>
              <w:t xml:space="preserve">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"Other Pension Cost"</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means: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c)    in respect of LGPS Eligible Employees, the standard employer contribution rate applicable to LGPS Eligible Employees during the Contract Period and payable by the Supplier such sums</w:t>
            </w:r>
            <w:r w:rsidDel="00000000" w:rsidR="00000000" w:rsidRPr="00000000">
              <w:rPr>
                <w:color w:val="1f497d"/>
                <w:sz w:val="20"/>
                <w:szCs w:val="20"/>
                <w:rtl w:val="0"/>
              </w:rPr>
              <w:t xml:space="preserve"> expressed </w:t>
            </w:r>
            <w:r w:rsidDel="00000000" w:rsidR="00000000" w:rsidRPr="00000000">
              <w:rPr>
                <w:color w:val="000000"/>
                <w:sz w:val="20"/>
                <w:szCs w:val="20"/>
                <w:rtl w:val="0"/>
              </w:rPr>
              <w:t xml:space="preserve">and set out </w:t>
            </w:r>
            <w:r w:rsidDel="00000000" w:rsidR="00000000" w:rsidRPr="00000000">
              <w:rPr>
                <w:color w:val="1f497d"/>
                <w:sz w:val="20"/>
                <w:szCs w:val="20"/>
                <w:rtl w:val="0"/>
              </w:rPr>
              <w:t xml:space="preserve">in the rates and adjustments certificate</w:t>
            </w:r>
            <w:r w:rsidDel="00000000" w:rsidR="00000000" w:rsidRPr="00000000">
              <w:rPr>
                <w:color w:val="000000"/>
                <w:sz w:val="20"/>
                <w:szCs w:val="20"/>
                <w:rtl w:val="0"/>
              </w:rPr>
              <w:t xml:space="preserve"> under regulation 62 of the LGPS Regulations (but no other costs, contributions, charges or surcharges payable by the Supplier to or in respect of the LGPS unless otherwise agreed in writing by the Authority) </w:t>
            </w:r>
            <w:r w:rsidDel="00000000" w:rsidR="00000000" w:rsidRPr="00000000">
              <w:rPr>
                <w:color w:val="1f497d"/>
                <w:sz w:val="20"/>
                <w:szCs w:val="20"/>
                <w:rtl w:val="0"/>
              </w:rPr>
              <w:t xml:space="preserve">less any </w:t>
            </w:r>
            <w:r w:rsidDel="00000000" w:rsidR="00000000" w:rsidRPr="00000000">
              <w:rPr>
                <w:color w:val="000000"/>
                <w:sz w:val="20"/>
                <w:szCs w:val="20"/>
                <w:rtl w:val="0"/>
              </w:rPr>
              <w:t xml:space="preserve">costs recoverable under paragraph 6 of Annex D3: LGPS of Part D Pensions of Schedule 2 Staff Transfer</w:t>
            </w:r>
            <w:r w:rsidDel="00000000" w:rsidR="00000000" w:rsidRPr="00000000">
              <w:rPr>
                <w:color w:val="1f497d"/>
                <w:sz w:val="20"/>
                <w:szCs w:val="20"/>
                <w:rtl w:val="0"/>
              </w:rPr>
              <w:t xml:space="preserve">;</w:t>
            </w:r>
            <w:r w:rsidDel="00000000" w:rsidR="00000000" w:rsidRPr="00000000">
              <w:rPr>
                <w:color w:val="000000"/>
                <w:sz w:val="20"/>
                <w:szCs w:val="20"/>
                <w:rtl w:val="0"/>
              </w:rPr>
              <w:t xml:space="preserve"> and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"TUPE Count"</w:t>
            </w:r>
          </w:p>
        </w:tc>
        <w:tc>
          <w:tcPr>
            <w:vAlign w:val="center"/>
          </w:tcPr>
          <w:p w:rsidR="00000000" w:rsidDel="00000000" w:rsidP="00000000" w:rsidRDefault="00000000" w:rsidRPr="00000000" w14:paraId="00000042">
            <w:pPr>
              <w:tabs>
                <w:tab w:val="left" w:leader="none" w:pos="175"/>
                <w:tab w:val="left" w:leader="none" w:pos="-9"/>
              </w:tabs>
              <w:spacing w:after="120" w:lineRule="auto"/>
              <w:jc w:val="left"/>
              <w:rPr>
                <w:sz w:val="20"/>
                <w:szCs w:val="20"/>
              </w:rPr>
            </w:pPr>
            <w:r w:rsidDel="00000000" w:rsidR="00000000" w:rsidRPr="00000000">
              <w:rPr>
                <w:sz w:val="20"/>
                <w:szCs w:val="20"/>
                <w:rtl w:val="0"/>
              </w:rPr>
              <w:t xml:space="preserve">means the total number of:</w:t>
            </w:r>
          </w:p>
          <w:p w:rsidR="00000000" w:rsidDel="00000000" w:rsidP="00000000" w:rsidRDefault="00000000" w:rsidRPr="00000000" w14:paraId="00000043">
            <w:pPr>
              <w:numPr>
                <w:ilvl w:val="0"/>
                <w:numId w:val="1"/>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Transferring Former Supplier Employees;</w:t>
            </w:r>
          </w:p>
          <w:p w:rsidR="00000000" w:rsidDel="00000000" w:rsidP="00000000" w:rsidRDefault="00000000" w:rsidRPr="00000000" w14:paraId="00000044">
            <w:pPr>
              <w:numPr>
                <w:ilvl w:val="0"/>
                <w:numId w:val="1"/>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where the Former Supplier becomes the Supplier the Former Supplier employees providing the Services at the Commencement Date; and/or </w:t>
            </w:r>
          </w:p>
          <w:p w:rsidR="00000000" w:rsidDel="00000000" w:rsidP="00000000" w:rsidRDefault="00000000" w:rsidRPr="00000000" w14:paraId="00000045">
            <w:pPr>
              <w:numPr>
                <w:ilvl w:val="0"/>
                <w:numId w:val="1"/>
              </w:numPr>
              <w:tabs>
                <w:tab w:val="left" w:leader="none" w:pos="175"/>
                <w:tab w:val="left" w:leader="none" w:pos="-9"/>
              </w:tabs>
              <w:spacing w:after="120" w:lineRule="auto"/>
              <w:ind w:left="720" w:hanging="360"/>
              <w:jc w:val="left"/>
              <w:rPr>
                <w:sz w:val="20"/>
                <w:szCs w:val="20"/>
              </w:rPr>
            </w:pPr>
            <w:r w:rsidDel="00000000" w:rsidR="00000000" w:rsidRPr="00000000">
              <w:rPr>
                <w:sz w:val="20"/>
                <w:szCs w:val="20"/>
                <w:rtl w:val="0"/>
              </w:rPr>
              <w:t xml:space="preserve">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6">
            <w:pPr>
              <w:ind w:left="72" w:firstLine="0"/>
              <w:jc w:val="center"/>
              <w:rPr>
                <w:b w:val="1"/>
                <w:color w:val="000000"/>
                <w:sz w:val="20"/>
                <w:szCs w:val="20"/>
              </w:rPr>
            </w:pPr>
            <w:r w:rsidDel="00000000" w:rsidR="00000000" w:rsidRPr="00000000">
              <w:rPr>
                <w:b w:val="1"/>
                <w:color w:val="000000"/>
                <w:sz w:val="20"/>
                <w:szCs w:val="20"/>
                <w:rtl w:val="0"/>
              </w:rPr>
              <w:t xml:space="preserve">"TUPE Risk Premium"</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either the:</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Direct Award TUPE Risk Premium;</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Further Competition TUPE Risk Premium; or</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c)</w:t>
              <w:tab/>
              <w:t xml:space="preserve">Fixed Fee TUPE Risk Premium,</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as the context requires;</w:t>
            </w:r>
          </w:p>
        </w:tc>
      </w:tr>
      <w:tr>
        <w:trPr>
          <w:cantSplit w:val="0"/>
          <w:tblHeader w:val="0"/>
        </w:trPr>
        <w:tc>
          <w:tcPr>
            <w:vAlign w:val="center"/>
          </w:tcPr>
          <w:p w:rsidR="00000000" w:rsidDel="00000000" w:rsidP="00000000" w:rsidRDefault="00000000" w:rsidRPr="00000000" w14:paraId="0000004C">
            <w:pPr>
              <w:ind w:left="72" w:firstLine="0"/>
              <w:jc w:val="center"/>
              <w:rPr>
                <w:b w:val="1"/>
                <w:color w:val="000000"/>
                <w:sz w:val="20"/>
                <w:szCs w:val="20"/>
              </w:rPr>
            </w:pPr>
            <w:r w:rsidDel="00000000" w:rsidR="00000000" w:rsidRPr="00000000">
              <w:rPr>
                <w:b w:val="1"/>
                <w:color w:val="000000"/>
                <w:sz w:val="20"/>
                <w:szCs w:val="20"/>
                <w:rtl w:val="0"/>
              </w:rPr>
              <w:t xml:space="preserve">"TUPE Risk Premium Average"</w:t>
            </w:r>
          </w:p>
        </w:tc>
        <w:tc>
          <w:tcP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the average</w:t>
            </w:r>
            <w:r w:rsidDel="00000000" w:rsidR="00000000" w:rsidRPr="00000000">
              <w:rPr>
                <w:rtl w:val="0"/>
              </w:rPr>
              <w:t xml:space="preserve">     </w:t>
            </w:r>
            <w:r w:rsidDel="00000000" w:rsidR="00000000" w:rsidRPr="00000000">
              <w:rPr>
                <w:color w:val="000000"/>
                <w:sz w:val="20"/>
                <w:szCs w:val="20"/>
                <w:rtl w:val="0"/>
              </w:rPr>
              <w:t xml:space="preserve"> calculated by dividing the Further Competition TUPE Risk Premium by the lower of either:</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Labour Count; or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the TUPE Count.</w:t>
            </w:r>
          </w:p>
        </w:tc>
      </w:tr>
    </w:tbl>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rtl w:val="0"/>
        </w:rPr>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3znysh7" w:id="4"/>
      <w:bookmarkEnd w:id="4"/>
      <w:r w:rsidDel="00000000" w:rsidR="00000000" w:rsidRPr="00000000">
        <w:rPr>
          <w:b w:val="1"/>
          <w:color w:val="000000"/>
          <w:rtl w:val="0"/>
        </w:rPr>
        <w:t xml:space="preserve">OPTION 1 – DIRECT AWARD – TUPE RISK PREMIUM</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be as set out in Annex 1 - Framework Schedule 3 (Framework Prices).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apply for the Call Off Contract Period and no changes shall be permitted except as set out in paragraph 4 of this Schedule 6 (TUPE Surcharge).</w:t>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2et92p0" w:id="5"/>
      <w:bookmarkEnd w:id="5"/>
      <w:r w:rsidDel="00000000" w:rsidR="00000000" w:rsidRPr="00000000">
        <w:rPr>
          <w:b w:val="1"/>
          <w:color w:val="000000"/>
          <w:rtl w:val="0"/>
        </w:rPr>
        <w:t xml:space="preserve">OPTION 2 - FURTHER COMPETITION TUPE RISK PREMIUM</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Further Competition TUPE Risk Premium shall be priced for at Further Competition as set out in Annex 1 - Call Off Schedule 5 (Call-Off Pricing).</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notice that no adjustment is required and the Further Competition TUPE Risk Premium submitted at Call-Off Tender will be used.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or</w:t>
      </w:r>
    </w:p>
    <w:p w:rsidR="00000000" w:rsidDel="00000000" w:rsidP="00000000" w:rsidRDefault="00000000" w:rsidRPr="00000000" w14:paraId="00000059">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color w:val="000000"/>
        </w:rPr>
      </w:pPr>
      <w:r w:rsidDel="00000000" w:rsidR="00000000" w:rsidRPr="00000000">
        <w:rPr>
          <w:rtl w:val="0"/>
        </w:rPr>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Further Competition TUPE Risk Premium, when Post Award Adjustment</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tyjcwt" w:id="6"/>
      <w:bookmarkEnd w:id="6"/>
      <w:r w:rsidDel="00000000" w:rsidR="00000000" w:rsidRPr="00000000">
        <w:rPr>
          <w:color w:val="000000"/>
          <w:rtl w:val="0"/>
        </w:rPr>
        <w:t xml:space="preserve">Within 20 Working Days after the Relevant Transfer Date, t</w:t>
      </w:r>
      <w:r w:rsidDel="00000000" w:rsidR="00000000" w:rsidRPr="00000000">
        <w:rPr>
          <w:rtl w:val="0"/>
        </w:rPr>
        <w:t xml:space="preserve">     </w:t>
      </w:r>
      <w:r w:rsidDel="00000000" w:rsidR="00000000" w:rsidRPr="00000000">
        <w:rPr>
          <w:color w:val="000000"/>
          <w:rtl w:val="0"/>
        </w:rPr>
        <w:t xml:space="preserve">he Supplier may request a Further Competition TUPE Risk Premium adjustment, and the Buyer may grant the request, if:</w:t>
      </w:r>
    </w:p>
    <w:p w:rsidR="00000000" w:rsidDel="00000000" w:rsidP="00000000" w:rsidRDefault="00000000" w:rsidRPr="00000000" w14:paraId="0000005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E">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TUPE Count; and or</w:t>
      </w:r>
    </w:p>
    <w:p w:rsidR="00000000" w:rsidDel="00000000" w:rsidP="00000000" w:rsidRDefault="00000000" w:rsidRPr="00000000" w14:paraId="0000005F">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any costs covered by</w:t>
      </w:r>
      <w:r w:rsidDel="00000000" w:rsidR="00000000" w:rsidRPr="00000000">
        <w:rPr>
          <w:rtl w:val="0"/>
        </w:rPr>
        <w:t xml:space="preserve">     </w:t>
      </w:r>
      <w:r w:rsidDel="00000000" w:rsidR="00000000" w:rsidRPr="00000000">
        <w:rPr>
          <w:color w:val="000000"/>
          <w:rtl w:val="0"/>
        </w:rPr>
        <w:t xml:space="preserve"> the </w:t>
      </w:r>
      <w:r w:rsidDel="00000000" w:rsidR="00000000" w:rsidRPr="00000000">
        <w:rPr>
          <w:rtl w:val="0"/>
        </w:rPr>
        <w:t xml:space="preserve">     </w:t>
      </w:r>
      <w:r w:rsidDel="00000000" w:rsidR="00000000" w:rsidRPr="00000000">
        <w:rPr>
          <w:color w:val="000000"/>
          <w:rtl w:val="0"/>
        </w:rPr>
        <w:t xml:space="preserve">Further Competition TUPE Risk Premium,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agreement of the Further Competition TUPE Risk Premium the Further Competition TUPE Risk Premium Average shall be calculated and this will be used as the basis for the</w:t>
      </w:r>
      <w:r w:rsidDel="00000000" w:rsidR="00000000" w:rsidRPr="00000000">
        <w:rPr>
          <w:rtl w:val="0"/>
        </w:rPr>
        <w:t xml:space="preserve">     </w:t>
      </w:r>
      <w:r w:rsidDel="00000000" w:rsidR="00000000" w:rsidRPr="00000000">
        <w:rPr>
          <w:color w:val="000000"/>
          <w:rtl w:val="0"/>
        </w:rPr>
        <w:t xml:space="preserve"> annual  review of the Further Competition TUPE Risk Premium.</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b w:val="1"/>
          <w:color w:val="000000"/>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Further Competition TUPE Risk Premium shall be reviewed by the Buyer at the commencement of each Contract Year.</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3dy6vkm" w:id="7"/>
      <w:bookmarkEnd w:id="7"/>
      <w:r w:rsidDel="00000000" w:rsidR="00000000" w:rsidRPr="00000000">
        <w:rPr>
          <w:color w:val="000000"/>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Difference in TUPE Count (Previous Contract Year less current Contract Year) x TUPE Risk Premium Average.</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in the provision of services under </w:t>
      </w:r>
      <w:r w:rsidDel="00000000" w:rsidR="00000000" w:rsidRPr="00000000">
        <w:rPr>
          <w:rtl w:val="0"/>
        </w:rPr>
        <w:t xml:space="preserve">     </w:t>
      </w:r>
      <w:r w:rsidDel="00000000" w:rsidR="00000000" w:rsidRPr="00000000">
        <w:rPr>
          <w:color w:val="000000"/>
          <w:rtl w:val="0"/>
        </w:rPr>
        <w:t xml:space="preserve">this Contract (whichever occurs the earliest).</w:t>
      </w:r>
    </w:p>
    <w:p w:rsidR="00000000" w:rsidDel="00000000" w:rsidP="00000000" w:rsidRDefault="00000000" w:rsidRPr="00000000" w14:paraId="0000006F">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517" w:hanging="720"/>
        <w:rPr>
          <w:color w:val="000000"/>
        </w:rPr>
      </w:pPr>
      <w:r w:rsidDel="00000000" w:rsidR="00000000" w:rsidRPr="00000000">
        <w:rPr>
          <w:color w:val="000000"/>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adjusted Further Competition TUPE Risk Premium; or </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adjusted Further Competition TUPE Risk Premium is more than the Further Competition TUPE Risk Premium in the previous Contract Year, the Further Competition TUPE Risk Premium shall not be adjusted.</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reserves the right to review and audit the calculation of the Further Competition TUPE Risk Premium at any time. </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1t3h5sf" w:id="8"/>
      <w:bookmarkEnd w:id="8"/>
      <w:r w:rsidDel="00000000" w:rsidR="00000000" w:rsidRPr="00000000">
        <w:rPr>
          <w:b w:val="1"/>
          <w:color w:val="000000"/>
          <w:rtl w:val="0"/>
        </w:rPr>
        <w:t xml:space="preserve">OPTION 3 – FURTHER COMPETITION - FIXED FEE TUPE RISK PREMIUM</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The Fixed Fee TUPE Risk Premium shall be priced for at Further Competition as set out in Annex 1 - Call Off Schedule 5 (Call-Off Pricing) and no further adjustments shall be permitted except as set out in paragraph 4 of this Schedule 6 (TUPE Surcharge).</w:t>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r w:rsidDel="00000000" w:rsidR="00000000" w:rsidRPr="00000000">
        <w:rPr>
          <w:b w:val="1"/>
          <w:color w:val="000000"/>
          <w:rtl w:val="0"/>
        </w:rPr>
        <w:t xml:space="preserve">EMPLOYER PENSIONS CONTRIBUTION CAP &amp; OTHER PENSION COST</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For all options detailed at paragraphs 1, 2 and 3 above the following shall apply.</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rtl w:val="0"/>
        </w:rPr>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pension adjustment in accordance with the provisions of paragraph 4.1.1. above to the TUPE Risk Premium they must provide sufficient evidence to the Buyer to justify the pension adjustment.</w:t>
      </w:r>
    </w:p>
    <w:p w:rsidR="00000000" w:rsidDel="00000000" w:rsidP="00000000" w:rsidRDefault="00000000" w:rsidRPr="00000000" w14:paraId="00000082">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pension adjustment the Buyer shall either:</w:t>
      </w:r>
    </w:p>
    <w:p w:rsidR="00000000" w:rsidDel="00000000" w:rsidP="00000000" w:rsidRDefault="00000000" w:rsidRPr="00000000" w14:paraId="00000083">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pension adjustment; </w:t>
      </w:r>
    </w:p>
    <w:p w:rsidR="00000000" w:rsidDel="00000000" w:rsidP="00000000" w:rsidRDefault="00000000" w:rsidRPr="00000000" w14:paraId="00000084">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85">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86">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7">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8">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9">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ind w:left="502" w:hanging="360"/>
        <w:rPr>
          <w:b w:val="1"/>
          <w:color w:val="000000"/>
        </w:rPr>
      </w:pPr>
      <w:r w:rsidDel="00000000" w:rsidR="00000000" w:rsidRPr="00000000">
        <w:rPr>
          <w:b w:val="1"/>
          <w:color w:val="000000"/>
          <w:rtl w:val="0"/>
        </w:rPr>
        <w:t xml:space="preserve">COST OF CHANGE</w:t>
      </w:r>
    </w:p>
    <w:p w:rsidR="00000000" w:rsidDel="00000000" w:rsidP="00000000" w:rsidRDefault="00000000" w:rsidRPr="00000000" w14:paraId="0000008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1 - Direct Award TUPE Risk Premium. </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Cost of Change.</w:t>
      </w:r>
    </w:p>
    <w:p w:rsidR="00000000" w:rsidDel="00000000" w:rsidP="00000000" w:rsidRDefault="00000000" w:rsidRPr="00000000" w14:paraId="0000008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2 – Further Competition TUPE Risk Premium.</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8F">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post award adjustment the Buyer shall either:</w:t>
      </w:r>
    </w:p>
    <w:p w:rsidR="00000000" w:rsidDel="00000000" w:rsidP="00000000" w:rsidRDefault="00000000" w:rsidRPr="00000000" w14:paraId="00000090">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Cost of Change adjustments, or</w:t>
      </w:r>
    </w:p>
    <w:p w:rsidR="00000000" w:rsidDel="00000000" w:rsidP="00000000" w:rsidRDefault="00000000" w:rsidRPr="00000000" w14:paraId="00000091">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92">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93">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rPr>
      </w:pPr>
      <w:r w:rsidDel="00000000" w:rsidR="00000000" w:rsidRPr="00000000">
        <w:rPr>
          <w:color w:val="000000"/>
          <w:rtl w:val="0"/>
        </w:rPr>
        <w:t xml:space="preserve">Following a request in accordance with 1.2.2 (b) or (c) above, the Buyer shall notify the Supplier if the Cost of Change adjustment is accepted or not (such decision being entirely at the Buyer’s discretion).</w:t>
      </w:r>
      <w:r w:rsidDel="00000000" w:rsidR="00000000" w:rsidRPr="00000000">
        <w:rPr>
          <w:rtl w:val="0"/>
        </w:rPr>
      </w:r>
    </w:p>
    <w:p w:rsidR="00000000" w:rsidDel="00000000" w:rsidP="00000000" w:rsidRDefault="00000000" w:rsidRPr="00000000" w14:paraId="0000009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3 – Further Competition Fixed Fee TUPE Risk Premium</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post award adjustment to Cost of Change.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rtl w:val="0"/>
        </w:rPr>
      </w:r>
    </w:p>
    <w:p w:rsidR="00000000" w:rsidDel="00000000" w:rsidP="00000000" w:rsidRDefault="00000000" w:rsidRPr="00000000" w14:paraId="00000097">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Contract Reference CCBO21A06</w:t>
      <w:tab/>
      <w:tab/>
      <w:t xml:space="preserve">   Ref: RM3830 (Model V3.0)</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79"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ab/>
      <w:t xml:space="preserve">Crown Copyright 2022</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114300" distT="114300" distL="114300" distR="114300" hidden="0" layoutInCell="1" locked="0" relativeHeight="0" simplePos="0">
          <wp:simplePos x="0" y="0"/>
          <wp:positionH relativeFrom="column">
            <wp:posOffset>5591175</wp:posOffset>
          </wp:positionH>
          <wp:positionV relativeFrom="paragraph">
            <wp:posOffset>-335278</wp:posOffset>
          </wp:positionV>
          <wp:extent cx="1004888" cy="837406"/>
          <wp:effectExtent b="0" l="0" r="0" t="0"/>
          <wp:wrapSquare wrapText="bothSides" distB="114300" distT="114300" distL="114300" distR="11430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99">
    <w:pPr>
      <w:tabs>
        <w:tab w:val="center" w:leader="none" w:pos="4513"/>
        <w:tab w:val="right" w:leader="none" w:pos="9026"/>
      </w:tabs>
      <w:spacing w:after="0" w:lineRule="auto"/>
      <w:jc w:val="left"/>
      <w:rPr>
        <w:b w:val="1"/>
      </w:rPr>
    </w:pPr>
    <w:r w:rsidDel="00000000" w:rsidR="00000000" w:rsidRPr="00000000">
      <w:rPr>
        <w:b w:val="1"/>
        <w:rtl w:val="0"/>
      </w:rPr>
      <w:t xml:space="preserve">Call-Off Schedule 6 (TUPE Surcharge)</w:t>
    </w:r>
  </w:p>
  <w:p w:rsidR="00000000" w:rsidDel="00000000" w:rsidP="00000000" w:rsidRDefault="00000000" w:rsidRPr="00000000" w14:paraId="0000009A">
    <w:pPr>
      <w:tabs>
        <w:tab w:val="center" w:leader="none" w:pos="4513"/>
        <w:tab w:val="right" w:leader="none" w:pos="9026"/>
      </w:tabs>
      <w:spacing w:after="0" w:lineRule="auto"/>
      <w:jc w:val="left"/>
      <w:rPr/>
    </w:pPr>
    <w:r w:rsidDel="00000000" w:rsidR="00000000" w:rsidRPr="00000000">
      <w:rPr>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502" w:hanging="360"/>
      </w:pPr>
      <w:rPr/>
    </w:lvl>
    <w:lvl w:ilvl="1">
      <w:start w:val="1"/>
      <w:numFmt w:val="decimal"/>
      <w:lvlText w:val="%1.%2."/>
      <w:lvlJc w:val="left"/>
      <w:pPr>
        <w:ind w:left="1078" w:hanging="579"/>
      </w:pPr>
      <w:rPr>
        <w:rFonts w:ascii="Calibri" w:cs="Calibri" w:eastAsia="Calibri" w:hAnsi="Calibri"/>
        <w:b w:val="0"/>
      </w:rPr>
    </w:lvl>
    <w:lvl w:ilvl="2">
      <w:start w:val="1"/>
      <w:numFmt w:val="decimal"/>
      <w:lvlText w:val="%1.%2.%3."/>
      <w:lvlJc w:val="left"/>
      <w:pPr>
        <w:ind w:left="1798" w:hanging="720"/>
      </w:pPr>
      <w:rPr>
        <w:rFonts w:ascii="Calibri" w:cs="Calibri" w:eastAsia="Calibri" w:hAnsi="Calibri"/>
        <w:b w:val="0"/>
      </w:rPr>
    </w:lvl>
    <w:lvl w:ilvl="3">
      <w:start w:val="1"/>
      <w:numFmt w:val="lowerLetter"/>
      <w:lvlText w:val="(%4)"/>
      <w:lvlJc w:val="left"/>
      <w:pPr>
        <w:ind w:left="2733" w:hanging="935"/>
      </w:pPr>
      <w:rPr>
        <w:rFonts w:ascii="Calibri" w:cs="Calibri" w:eastAsia="Calibri" w:hAnsi="Calibri"/>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abstractNum w:abstractNumId="3">
    <w:lvl w:ilvl="0">
      <w:start w:val="4"/>
      <w:numFmt w:val="decimal"/>
      <w:lvlText w:val="%1."/>
      <w:lvlJc w:val="left"/>
      <w:pPr>
        <w:ind w:left="502" w:hanging="360"/>
      </w:pPr>
      <w:rPr>
        <w:color w:val="000000"/>
        <w:u w:val="single"/>
      </w:rPr>
    </w:lvl>
    <w:lvl w:ilvl="1">
      <w:start w:val="1"/>
      <w:numFmt w:val="decimal"/>
      <w:lvlText w:val="%1.%2."/>
      <w:lvlJc w:val="left"/>
      <w:pPr>
        <w:ind w:left="1078" w:hanging="579"/>
      </w:pPr>
      <w:rPr>
        <w:rFonts w:ascii="Calibri" w:cs="Calibri" w:eastAsia="Calibri" w:hAnsi="Calibri"/>
        <w:b w:val="0"/>
        <w:color w:val="000000"/>
        <w:u w:val="single"/>
      </w:rPr>
    </w:lvl>
    <w:lvl w:ilvl="2">
      <w:start w:val="1"/>
      <w:numFmt w:val="decimal"/>
      <w:lvlText w:val="%1.%2.%3."/>
      <w:lvlJc w:val="left"/>
      <w:pPr>
        <w:ind w:left="1798" w:hanging="720"/>
      </w:pPr>
      <w:rPr>
        <w:rFonts w:ascii="Calibri" w:cs="Calibri" w:eastAsia="Calibri" w:hAnsi="Calibri"/>
        <w:b w:val="0"/>
        <w:color w:val="000000"/>
        <w:u w:val="none"/>
      </w:rPr>
    </w:lvl>
    <w:lvl w:ilvl="3">
      <w:start w:val="1"/>
      <w:numFmt w:val="lowerLetter"/>
      <w:lvlText w:val="(%4)"/>
      <w:lvlJc w:val="left"/>
      <w:pPr>
        <w:ind w:left="2733" w:hanging="935"/>
      </w:pPr>
      <w:rPr>
        <w:rFonts w:ascii="Calibri" w:cs="Calibri" w:eastAsia="Calibri" w:hAnsi="Calibri"/>
        <w:b w:val="0"/>
        <w:color w:val="000000"/>
        <w:u w:val="singl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4">
    <w:lvl w:ilvl="0">
      <w:start w:val="2"/>
      <w:numFmt w:val="decimal"/>
      <w:lvlText w:val="%1"/>
      <w:lvlJc w:val="left"/>
      <w:pPr>
        <w:ind w:left="600" w:hanging="600"/>
      </w:pPr>
      <w:rPr/>
    </w:lvl>
    <w:lvl w:ilvl="1">
      <w:start w:val="3"/>
      <w:numFmt w:val="decimal"/>
      <w:lvlText w:val="%1.%2"/>
      <w:lvlJc w:val="left"/>
      <w:pPr>
        <w:ind w:left="1199" w:hanging="600"/>
      </w:pPr>
      <w:rPr/>
    </w:lvl>
    <w:lvl w:ilvl="2">
      <w:start w:val="4"/>
      <w:numFmt w:val="decimal"/>
      <w:lvlText w:val="%1.%2.%3"/>
      <w:lvlJc w:val="left"/>
      <w:pPr>
        <w:ind w:left="1918" w:hanging="720"/>
      </w:pPr>
      <w:rPr/>
    </w:lvl>
    <w:lvl w:ilvl="3">
      <w:start w:val="1"/>
      <w:numFmt w:val="decimal"/>
      <w:lvlText w:val="%1.%2.%3.%4"/>
      <w:lvlJc w:val="left"/>
      <w:pPr>
        <w:ind w:left="2517" w:hanging="720"/>
      </w:pPr>
      <w:rPr/>
    </w:lvl>
    <w:lvl w:ilvl="4">
      <w:start w:val="1"/>
      <w:numFmt w:val="decimal"/>
      <w:lvlText w:val="%1.%2.%3.%4.%5"/>
      <w:lvlJc w:val="left"/>
      <w:pPr>
        <w:ind w:left="3476" w:hanging="1080"/>
      </w:pPr>
      <w:rPr/>
    </w:lvl>
    <w:lvl w:ilvl="5">
      <w:start w:val="1"/>
      <w:numFmt w:val="decimal"/>
      <w:lvlText w:val="%1.%2.%3.%4.%5.%6"/>
      <w:lvlJc w:val="left"/>
      <w:pPr>
        <w:ind w:left="4075" w:hanging="1080"/>
      </w:pPr>
      <w:rPr/>
    </w:lvl>
    <w:lvl w:ilvl="6">
      <w:start w:val="1"/>
      <w:numFmt w:val="decimal"/>
      <w:lvlText w:val="%1.%2.%3.%4.%5.%6.%7"/>
      <w:lvlJc w:val="left"/>
      <w:pPr>
        <w:ind w:left="5034" w:hanging="1440"/>
      </w:pPr>
      <w:rPr/>
    </w:lvl>
    <w:lvl w:ilvl="7">
      <w:start w:val="1"/>
      <w:numFmt w:val="decimal"/>
      <w:lvlText w:val="%1.%2.%3.%4.%5.%6.%7.%8"/>
      <w:lvlJc w:val="left"/>
      <w:pPr>
        <w:ind w:left="5633" w:hanging="1440"/>
      </w:pPr>
      <w:rPr/>
    </w:lvl>
    <w:lvl w:ilvl="8">
      <w:start w:val="1"/>
      <w:numFmt w:val="decimal"/>
      <w:lvlText w:val="%1.%2.%3.%4.%5.%6.%7.%8.%9"/>
      <w:lvlJc w:val="left"/>
      <w:pPr>
        <w:ind w:left="6232"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5"/>
      </w:numPr>
      <w:tabs>
        <w:tab w:val="left" w:pos="1134"/>
      </w:tabs>
      <w:spacing w:after="120" w:before="120"/>
    </w:pPr>
  </w:style>
  <w:style w:type="paragraph" w:styleId="GPSL3numberedclause" w:customStyle="1">
    <w:name w:val="GPS L3 numbered clause"/>
    <w:basedOn w:val="Normal"/>
    <w:qFormat w:val="1"/>
    <w:pPr>
      <w:numPr>
        <w:ilvl w:val="2"/>
        <w:numId w:val="5"/>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ooWrWQCkb+oaRW9So5jwHt0lQA==">CgMxLjAyCGguZ2pkZ3hzMgloLjRkMzRvZzgyCWguMzBqMHpsbDIJaC4xZm9iOXRlMgloLjN6bnlzaDcyCWguMmV0OTJwMDIIaC50eWpjd3QyCWguM2R5NnZrbTIJaC4xdDNoNXNmOAByITFmcFJ6NzNVeHlpTDNZaHpuWlA3QTJvNXprODVQQjd1WA==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2022-09-23T00:01:00Z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